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AA6" w:rsidRDefault="00FA30D9" w:rsidP="00284E6F">
      <w:pPr>
        <w:spacing w:line="360" w:lineRule="auto"/>
        <w:ind w:left="720" w:hanging="720"/>
        <w:contextualSpacing/>
        <w:rPr>
          <w:noProof/>
          <w:sz w:val="24"/>
          <w:szCs w:val="24"/>
        </w:rPr>
      </w:pPr>
      <w:r>
        <w:rPr>
          <w:noProof/>
          <w:sz w:val="24"/>
          <w:szCs w:val="24"/>
        </w:rPr>
        <w:t>To: David Swanton, Headmaster</w:t>
      </w:r>
    </w:p>
    <w:p w:rsidR="00FA30D9" w:rsidRDefault="00FA30D9" w:rsidP="00284E6F">
      <w:pPr>
        <w:spacing w:line="360" w:lineRule="auto"/>
        <w:ind w:left="720" w:hanging="720"/>
        <w:contextualSpacing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From: Susan </w:t>
      </w:r>
      <w:r w:rsidR="00F50AA3">
        <w:rPr>
          <w:noProof/>
          <w:sz w:val="24"/>
          <w:szCs w:val="24"/>
        </w:rPr>
        <w:t>Smith, Library Media Specialist</w:t>
      </w:r>
    </w:p>
    <w:p w:rsidR="00F50AA3" w:rsidRDefault="00F50AA3" w:rsidP="00284E6F">
      <w:pPr>
        <w:spacing w:line="360" w:lineRule="auto"/>
        <w:ind w:left="720" w:hanging="720"/>
        <w:contextualSpacing/>
        <w:rPr>
          <w:noProof/>
          <w:sz w:val="24"/>
          <w:szCs w:val="24"/>
        </w:rPr>
      </w:pPr>
      <w:r>
        <w:rPr>
          <w:noProof/>
          <w:sz w:val="24"/>
          <w:szCs w:val="24"/>
        </w:rPr>
        <w:t>August 31, 2010</w:t>
      </w:r>
    </w:p>
    <w:p w:rsidR="00284E6F" w:rsidRDefault="00284E6F" w:rsidP="00F50AA3">
      <w:pPr>
        <w:spacing w:line="360" w:lineRule="auto"/>
        <w:ind w:left="720" w:hanging="720"/>
        <w:jc w:val="center"/>
        <w:rPr>
          <w:noProof/>
          <w:sz w:val="32"/>
          <w:szCs w:val="32"/>
          <w:u w:val="single"/>
        </w:rPr>
      </w:pPr>
    </w:p>
    <w:p w:rsidR="00FA30D9" w:rsidRPr="005707A3" w:rsidRDefault="00FA30D9" w:rsidP="00F50AA3">
      <w:pPr>
        <w:spacing w:line="360" w:lineRule="auto"/>
        <w:ind w:left="720" w:hanging="720"/>
        <w:jc w:val="center"/>
        <w:rPr>
          <w:b/>
          <w:noProof/>
          <w:sz w:val="32"/>
          <w:szCs w:val="32"/>
          <w:u w:val="single"/>
        </w:rPr>
      </w:pPr>
      <w:r w:rsidRPr="005707A3">
        <w:rPr>
          <w:b/>
          <w:noProof/>
          <w:sz w:val="32"/>
          <w:szCs w:val="32"/>
          <w:u w:val="single"/>
        </w:rPr>
        <w:t>A Report on the Braintree High School Library Media Center</w:t>
      </w:r>
    </w:p>
    <w:p w:rsidR="00284E6F" w:rsidRDefault="00284E6F" w:rsidP="007B3F27">
      <w:pPr>
        <w:spacing w:line="360" w:lineRule="auto"/>
        <w:rPr>
          <w:b/>
          <w:noProof/>
          <w:sz w:val="28"/>
          <w:szCs w:val="28"/>
          <w:u w:val="single"/>
        </w:rPr>
      </w:pPr>
    </w:p>
    <w:p w:rsidR="00284E6F" w:rsidRDefault="00284E6F" w:rsidP="007B3F27">
      <w:pPr>
        <w:spacing w:line="360" w:lineRule="auto"/>
        <w:rPr>
          <w:noProof/>
          <w:sz w:val="24"/>
          <w:szCs w:val="24"/>
        </w:rPr>
      </w:pPr>
      <w:r w:rsidRPr="00284E6F">
        <w:rPr>
          <w:b/>
          <w:noProof/>
          <w:sz w:val="28"/>
          <w:szCs w:val="28"/>
          <w:u w:val="single"/>
        </w:rPr>
        <w:t>Rational:</w:t>
      </w:r>
      <w:r>
        <w:rPr>
          <w:noProof/>
          <w:sz w:val="24"/>
          <w:szCs w:val="24"/>
        </w:rPr>
        <w:t xml:space="preserve"> </w:t>
      </w:r>
    </w:p>
    <w:p w:rsidR="00F50AA3" w:rsidRDefault="00C85CFE" w:rsidP="007B3F27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Since i</w:t>
      </w:r>
      <w:r w:rsidR="00F50AA3">
        <w:rPr>
          <w:noProof/>
          <w:sz w:val="24"/>
          <w:szCs w:val="24"/>
        </w:rPr>
        <w:t xml:space="preserve">mproving the </w:t>
      </w:r>
      <w:r w:rsidR="00284E6F">
        <w:rPr>
          <w:noProof/>
          <w:sz w:val="24"/>
          <w:szCs w:val="24"/>
        </w:rPr>
        <w:t xml:space="preserve">Braintree High School </w:t>
      </w:r>
      <w:r w:rsidR="00F50AA3">
        <w:rPr>
          <w:noProof/>
          <w:sz w:val="24"/>
          <w:szCs w:val="24"/>
        </w:rPr>
        <w:t>Library Media Center is a major initiative</w:t>
      </w:r>
      <w:r>
        <w:rPr>
          <w:noProof/>
          <w:sz w:val="24"/>
          <w:szCs w:val="24"/>
        </w:rPr>
        <w:t xml:space="preserve"> for you, </w:t>
      </w:r>
      <w:r w:rsidR="00F50AA3">
        <w:rPr>
          <w:noProof/>
          <w:sz w:val="24"/>
          <w:szCs w:val="24"/>
        </w:rPr>
        <w:t xml:space="preserve"> I wanted to gather </w:t>
      </w:r>
      <w:r w:rsidR="005A73D0">
        <w:rPr>
          <w:noProof/>
          <w:sz w:val="24"/>
          <w:szCs w:val="24"/>
        </w:rPr>
        <w:t xml:space="preserve">and share </w:t>
      </w:r>
      <w:r w:rsidR="00F50AA3">
        <w:rPr>
          <w:noProof/>
          <w:sz w:val="24"/>
          <w:szCs w:val="24"/>
        </w:rPr>
        <w:t xml:space="preserve">data before any changes were implemented. </w:t>
      </w:r>
    </w:p>
    <w:p w:rsidR="00284E6F" w:rsidRDefault="00284E6F" w:rsidP="007B3F27">
      <w:pPr>
        <w:spacing w:line="360" w:lineRule="auto"/>
        <w:rPr>
          <w:noProof/>
          <w:sz w:val="24"/>
          <w:szCs w:val="24"/>
        </w:rPr>
      </w:pPr>
      <w:r w:rsidRPr="00284E6F">
        <w:rPr>
          <w:b/>
          <w:noProof/>
          <w:sz w:val="28"/>
          <w:szCs w:val="28"/>
          <w:u w:val="single"/>
        </w:rPr>
        <w:t>Procedure:</w:t>
      </w:r>
      <w:r>
        <w:rPr>
          <w:noProof/>
          <w:sz w:val="24"/>
          <w:szCs w:val="24"/>
        </w:rPr>
        <w:t xml:space="preserve"> </w:t>
      </w:r>
    </w:p>
    <w:p w:rsidR="00284E6F" w:rsidRDefault="00284E6F" w:rsidP="007B3F27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Using Winnebago Spectrum 5, the BHS library management software, reports by copyright date were generated on August 18, 2010.  </w:t>
      </w:r>
      <w:r w:rsidR="00FA30D9">
        <w:rPr>
          <w:noProof/>
          <w:sz w:val="24"/>
          <w:szCs w:val="24"/>
        </w:rPr>
        <w:t>Du</w:t>
      </w:r>
      <w:r w:rsidR="00414871">
        <w:rPr>
          <w:noProof/>
          <w:sz w:val="24"/>
          <w:szCs w:val="24"/>
        </w:rPr>
        <w:t>e to the limitations</w:t>
      </w:r>
      <w:r w:rsidR="00FA30D9">
        <w:rPr>
          <w:noProof/>
          <w:sz w:val="24"/>
          <w:szCs w:val="24"/>
        </w:rPr>
        <w:t xml:space="preserve"> of the Winnebago software</w:t>
      </w:r>
      <w:r>
        <w:rPr>
          <w:noProof/>
          <w:sz w:val="24"/>
          <w:szCs w:val="24"/>
        </w:rPr>
        <w:t xml:space="preserve"> program</w:t>
      </w:r>
      <w:r w:rsidR="00FA30D9">
        <w:rPr>
          <w:noProof/>
          <w:sz w:val="24"/>
          <w:szCs w:val="24"/>
        </w:rPr>
        <w:t xml:space="preserve">, the data report actually had to be run several times since the </w:t>
      </w:r>
      <w:r w:rsidR="00FA30D9">
        <w:rPr>
          <w:noProof/>
          <w:sz w:val="24"/>
          <w:szCs w:val="24"/>
        </w:rPr>
        <w:lastRenderedPageBreak/>
        <w:t>system is only able to gather data in 8 year ranges. In other</w:t>
      </w:r>
      <w:r>
        <w:rPr>
          <w:noProof/>
          <w:sz w:val="24"/>
          <w:szCs w:val="24"/>
        </w:rPr>
        <w:t xml:space="preserve"> </w:t>
      </w:r>
      <w:r w:rsidR="00FA30D9">
        <w:rPr>
          <w:noProof/>
          <w:sz w:val="24"/>
          <w:szCs w:val="24"/>
        </w:rPr>
        <w:t>words,</w:t>
      </w:r>
      <w:r w:rsidR="007B3F27">
        <w:rPr>
          <w:noProof/>
          <w:sz w:val="24"/>
          <w:szCs w:val="24"/>
        </w:rPr>
        <w:t xml:space="preserve"> I had to</w:t>
      </w:r>
      <w:r>
        <w:rPr>
          <w:noProof/>
          <w:sz w:val="24"/>
          <w:szCs w:val="24"/>
        </w:rPr>
        <w:t xml:space="preserve"> create reports</w:t>
      </w:r>
      <w:r w:rsidR="007B3F27">
        <w:rPr>
          <w:noProof/>
          <w:sz w:val="24"/>
          <w:szCs w:val="24"/>
        </w:rPr>
        <w:t xml:space="preserve"> for materials</w:t>
      </w:r>
      <w:r w:rsidR="00FA30D9">
        <w:rPr>
          <w:noProof/>
          <w:sz w:val="24"/>
          <w:szCs w:val="24"/>
        </w:rPr>
        <w:t xml:space="preserve"> by copyright date </w:t>
      </w:r>
      <w:r>
        <w:rPr>
          <w:noProof/>
          <w:sz w:val="24"/>
          <w:szCs w:val="24"/>
        </w:rPr>
        <w:t>starting from 2011 and then working backwards for every 8 years stopping at 1901.</w:t>
      </w:r>
      <w:r w:rsidR="00FA30D9">
        <w:rPr>
          <w:noProof/>
          <w:sz w:val="24"/>
          <w:szCs w:val="24"/>
        </w:rPr>
        <w:t xml:space="preserve"> </w:t>
      </w:r>
    </w:p>
    <w:p w:rsidR="00414871" w:rsidRDefault="007B3F27" w:rsidP="007B3F27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The report lists resources</w:t>
      </w:r>
      <w:r w:rsidR="006A60B5">
        <w:rPr>
          <w:noProof/>
          <w:sz w:val="24"/>
          <w:szCs w:val="24"/>
        </w:rPr>
        <w:t xml:space="preserve"> by the various </w:t>
      </w:r>
      <w:r w:rsidR="006A60B5" w:rsidRPr="00284E6F">
        <w:rPr>
          <w:i/>
          <w:noProof/>
          <w:sz w:val="24"/>
          <w:szCs w:val="24"/>
        </w:rPr>
        <w:t>Material Types</w:t>
      </w:r>
      <w:r w:rsidR="006A60B5">
        <w:rPr>
          <w:noProof/>
          <w:sz w:val="24"/>
          <w:szCs w:val="24"/>
        </w:rPr>
        <w:t xml:space="preserve"> such as Fiction, Biography, Dewey call numbers 500-599, and Sound Recordings</w:t>
      </w:r>
      <w:r w:rsidR="00EC417B">
        <w:rPr>
          <w:noProof/>
          <w:sz w:val="24"/>
          <w:szCs w:val="24"/>
        </w:rPr>
        <w:t>.</w:t>
      </w:r>
      <w:r w:rsidR="006A60B5">
        <w:rPr>
          <w:noProof/>
          <w:sz w:val="24"/>
          <w:szCs w:val="24"/>
        </w:rPr>
        <w:t xml:space="preserve"> </w:t>
      </w:r>
      <w:r w:rsidR="00414871">
        <w:rPr>
          <w:noProof/>
          <w:sz w:val="24"/>
          <w:szCs w:val="24"/>
        </w:rPr>
        <w:t>The BHS profile has 23 different established material types.</w:t>
      </w:r>
    </w:p>
    <w:p w:rsidR="00414871" w:rsidRDefault="00414871" w:rsidP="007B3F27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</w:t>
      </w:r>
      <w:r w:rsidR="00F50AA3">
        <w:rPr>
          <w:noProof/>
          <w:sz w:val="24"/>
          <w:szCs w:val="24"/>
        </w:rPr>
        <w:t>There were some discrepancies that were ignored</w:t>
      </w:r>
      <w:r w:rsidR="00C85CFE">
        <w:rPr>
          <w:noProof/>
          <w:sz w:val="24"/>
          <w:szCs w:val="24"/>
        </w:rPr>
        <w:t xml:space="preserve"> during my calculation and analysis</w:t>
      </w:r>
      <w:r w:rsidR="00F50AA3">
        <w:rPr>
          <w:noProof/>
          <w:sz w:val="24"/>
          <w:szCs w:val="24"/>
        </w:rPr>
        <w:t xml:space="preserve">: 1595 items were listed as having </w:t>
      </w:r>
      <w:r w:rsidR="00F50AA3" w:rsidRPr="00284E6F">
        <w:rPr>
          <w:i/>
          <w:noProof/>
          <w:sz w:val="24"/>
          <w:szCs w:val="24"/>
        </w:rPr>
        <w:t>Invalid Dates</w:t>
      </w:r>
      <w:r w:rsidR="002752BE">
        <w:rPr>
          <w:noProof/>
          <w:sz w:val="24"/>
          <w:szCs w:val="24"/>
        </w:rPr>
        <w:t xml:space="preserve"> which most likely </w:t>
      </w:r>
      <w:r w:rsidR="00284E6F">
        <w:rPr>
          <w:noProof/>
          <w:sz w:val="24"/>
          <w:szCs w:val="24"/>
        </w:rPr>
        <w:t xml:space="preserve">means that when the materials were entered into Winnebago </w:t>
      </w:r>
      <w:r w:rsidR="00C85CFE">
        <w:rPr>
          <w:noProof/>
          <w:sz w:val="24"/>
          <w:szCs w:val="24"/>
        </w:rPr>
        <w:t>no copyright date was inputted</w:t>
      </w:r>
      <w:r w:rsidR="002752BE">
        <w:rPr>
          <w:noProof/>
          <w:sz w:val="24"/>
          <w:szCs w:val="24"/>
        </w:rPr>
        <w:t xml:space="preserve">. Nearly half (790) of the items with invalid dates were classified as videos. </w:t>
      </w:r>
      <w:r w:rsidR="00F50AA3">
        <w:rPr>
          <w:noProof/>
          <w:sz w:val="24"/>
          <w:szCs w:val="24"/>
        </w:rPr>
        <w:t xml:space="preserve"> </w:t>
      </w:r>
      <w:r w:rsidR="00D04463">
        <w:rPr>
          <w:noProof/>
          <w:sz w:val="24"/>
          <w:szCs w:val="24"/>
        </w:rPr>
        <w:t>To the best of my knowledge, there</w:t>
      </w:r>
      <w:r>
        <w:rPr>
          <w:noProof/>
          <w:sz w:val="24"/>
          <w:szCs w:val="24"/>
        </w:rPr>
        <w:t xml:space="preserve"> is no method</w:t>
      </w:r>
      <w:r w:rsidR="00D04463">
        <w:rPr>
          <w:noProof/>
          <w:sz w:val="24"/>
          <w:szCs w:val="24"/>
        </w:rPr>
        <w:t xml:space="preserve"> using Winnebago </w:t>
      </w:r>
      <w:r>
        <w:rPr>
          <w:noProof/>
          <w:sz w:val="24"/>
          <w:szCs w:val="24"/>
        </w:rPr>
        <w:t>to discover</w:t>
      </w:r>
      <w:r w:rsidR="007B3F27">
        <w:rPr>
          <w:noProof/>
          <w:sz w:val="24"/>
          <w:szCs w:val="24"/>
        </w:rPr>
        <w:t xml:space="preserve"> which books have invalid d</w:t>
      </w:r>
      <w:r w:rsidR="00D04463">
        <w:rPr>
          <w:noProof/>
          <w:sz w:val="24"/>
          <w:szCs w:val="24"/>
        </w:rPr>
        <w:t>ates without checking each book’</w:t>
      </w:r>
      <w:r w:rsidR="002752BE">
        <w:rPr>
          <w:noProof/>
          <w:sz w:val="24"/>
          <w:szCs w:val="24"/>
        </w:rPr>
        <w:t xml:space="preserve">s MARC record and as there are 17653 cataloged resources, that task was not considered. </w:t>
      </w:r>
      <w:r w:rsidR="00776087">
        <w:rPr>
          <w:noProof/>
          <w:sz w:val="24"/>
          <w:szCs w:val="24"/>
        </w:rPr>
        <w:t xml:space="preserve">The Material Type </w:t>
      </w:r>
      <w:r w:rsidR="00776087">
        <w:rPr>
          <w:i/>
          <w:noProof/>
          <w:sz w:val="24"/>
          <w:szCs w:val="24"/>
        </w:rPr>
        <w:t>Discards 2002</w:t>
      </w:r>
      <w:r w:rsidR="00776087" w:rsidRPr="00776087">
        <w:rPr>
          <w:i/>
          <w:noProof/>
          <w:sz w:val="24"/>
          <w:szCs w:val="24"/>
        </w:rPr>
        <w:t>/2003</w:t>
      </w:r>
      <w:r w:rsidR="00776087">
        <w:rPr>
          <w:noProof/>
          <w:sz w:val="24"/>
          <w:szCs w:val="24"/>
        </w:rPr>
        <w:t xml:space="preserve"> has 375 resources; 6 with invalid dates. The only reason I can summize that </w:t>
      </w:r>
      <w:r w:rsidR="00430AD7">
        <w:rPr>
          <w:noProof/>
          <w:sz w:val="24"/>
          <w:szCs w:val="24"/>
        </w:rPr>
        <w:t xml:space="preserve">warranted </w:t>
      </w:r>
      <w:r w:rsidR="00776087">
        <w:rPr>
          <w:noProof/>
          <w:sz w:val="24"/>
          <w:szCs w:val="24"/>
        </w:rPr>
        <w:t>those material</w:t>
      </w:r>
      <w:r w:rsidR="00430AD7">
        <w:rPr>
          <w:noProof/>
          <w:sz w:val="24"/>
          <w:szCs w:val="24"/>
        </w:rPr>
        <w:t>s  being</w:t>
      </w:r>
      <w:r w:rsidR="00776087">
        <w:rPr>
          <w:noProof/>
          <w:sz w:val="24"/>
          <w:szCs w:val="24"/>
        </w:rPr>
        <w:t xml:space="preserve"> put into a separate category is because a </w:t>
      </w:r>
      <w:r w:rsidR="00776087">
        <w:rPr>
          <w:noProof/>
          <w:sz w:val="24"/>
          <w:szCs w:val="24"/>
        </w:rPr>
        <w:lastRenderedPageBreak/>
        <w:t xml:space="preserve">previous library media specialist wanted to keep track of the resources she/he was weeding from the collection and </w:t>
      </w:r>
      <w:r w:rsidR="00430AD7">
        <w:rPr>
          <w:noProof/>
          <w:sz w:val="24"/>
          <w:szCs w:val="24"/>
        </w:rPr>
        <w:t xml:space="preserve">I </w:t>
      </w:r>
      <w:r w:rsidR="00776087">
        <w:rPr>
          <w:noProof/>
          <w:sz w:val="24"/>
          <w:szCs w:val="24"/>
        </w:rPr>
        <w:t xml:space="preserve">will </w:t>
      </w:r>
      <w:r w:rsidR="00C85CFE">
        <w:rPr>
          <w:noProof/>
          <w:sz w:val="24"/>
          <w:szCs w:val="24"/>
        </w:rPr>
        <w:t xml:space="preserve">further </w:t>
      </w:r>
      <w:r w:rsidR="00776087">
        <w:rPr>
          <w:noProof/>
          <w:sz w:val="24"/>
          <w:szCs w:val="24"/>
        </w:rPr>
        <w:t xml:space="preserve">assume that those materials are no longer in BHS. One other category was labelled </w:t>
      </w:r>
      <w:r w:rsidR="00776087" w:rsidRPr="00430AD7">
        <w:rPr>
          <w:i/>
          <w:noProof/>
          <w:sz w:val="24"/>
          <w:szCs w:val="24"/>
        </w:rPr>
        <w:t>Lost Books</w:t>
      </w:r>
      <w:r w:rsidR="00776087">
        <w:rPr>
          <w:noProof/>
          <w:sz w:val="24"/>
          <w:szCs w:val="24"/>
        </w:rPr>
        <w:t xml:space="preserve"> and contained one item.</w:t>
      </w:r>
      <w:r w:rsidR="00430AD7">
        <w:rPr>
          <w:noProof/>
          <w:sz w:val="24"/>
          <w:szCs w:val="24"/>
        </w:rPr>
        <w:t xml:space="preserve"> Again, I will assume that it is no longer in service.</w:t>
      </w:r>
    </w:p>
    <w:p w:rsidR="00FA30D9" w:rsidRDefault="00F50AA3" w:rsidP="00FA30D9">
      <w:pPr>
        <w:spacing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A copy of the data</w:t>
      </w:r>
      <w:r w:rsidR="00FA30D9">
        <w:rPr>
          <w:noProof/>
          <w:sz w:val="24"/>
          <w:szCs w:val="24"/>
        </w:rPr>
        <w:t xml:space="preserve"> </w:t>
      </w:r>
      <w:r w:rsidR="00C85CFE">
        <w:rPr>
          <w:noProof/>
          <w:sz w:val="24"/>
          <w:szCs w:val="24"/>
        </w:rPr>
        <w:t xml:space="preserve">and an </w:t>
      </w:r>
      <w:r w:rsidR="00414871">
        <w:rPr>
          <w:noProof/>
          <w:sz w:val="24"/>
          <w:szCs w:val="24"/>
        </w:rPr>
        <w:t xml:space="preserve">accompanying chart </w:t>
      </w:r>
      <w:r>
        <w:rPr>
          <w:noProof/>
          <w:sz w:val="24"/>
          <w:szCs w:val="24"/>
        </w:rPr>
        <w:t>us</w:t>
      </w:r>
      <w:r w:rsidR="00414871">
        <w:rPr>
          <w:noProof/>
          <w:sz w:val="24"/>
          <w:szCs w:val="24"/>
        </w:rPr>
        <w:t>ing 10 year increments are</w:t>
      </w:r>
      <w:r w:rsidR="00D04463">
        <w:rPr>
          <w:noProof/>
          <w:sz w:val="24"/>
          <w:szCs w:val="24"/>
        </w:rPr>
        <w:t xml:space="preserve"> below</w:t>
      </w:r>
      <w:r w:rsidR="00FA30D9">
        <w:rPr>
          <w:noProof/>
          <w:sz w:val="24"/>
          <w:szCs w:val="24"/>
        </w:rPr>
        <w:t>:</w:t>
      </w:r>
    </w:p>
    <w:p w:rsidR="00414871" w:rsidRDefault="00414871" w:rsidP="00FA30D9">
      <w:pPr>
        <w:spacing w:line="240" w:lineRule="auto"/>
        <w:rPr>
          <w:noProof/>
          <w:sz w:val="24"/>
          <w:szCs w:val="24"/>
        </w:rPr>
      </w:pPr>
    </w:p>
    <w:tbl>
      <w:tblPr>
        <w:tblW w:w="5534" w:type="dxa"/>
        <w:jc w:val="center"/>
        <w:tblInd w:w="93" w:type="dxa"/>
        <w:tblLook w:val="04A0"/>
      </w:tblPr>
      <w:tblGrid>
        <w:gridCol w:w="2001"/>
        <w:gridCol w:w="3533"/>
      </w:tblGrid>
      <w:tr w:rsidR="00414871" w:rsidRPr="00414871" w:rsidTr="00414871">
        <w:trPr>
          <w:trHeight w:val="465"/>
          <w:jc w:val="center"/>
        </w:trPr>
        <w:tc>
          <w:tcPr>
            <w:tcW w:w="2001" w:type="dxa"/>
            <w:tcBorders>
              <w:top w:val="single" w:sz="8" w:space="0" w:color="auto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8"/>
                <w:szCs w:val="28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8"/>
                <w:szCs w:val="28"/>
              </w:rPr>
              <w:t xml:space="preserve">Years 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8"/>
                <w:szCs w:val="28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8"/>
                <w:szCs w:val="28"/>
              </w:rPr>
              <w:t>Number of Resources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1901-1910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28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1911-1920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28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1921-1930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103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1931-1940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239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1941-1950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385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1951-1960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1319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1961-1970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4419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1971-1980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3553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1981-1990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2557</w:t>
            </w:r>
          </w:p>
        </w:tc>
      </w:tr>
      <w:tr w:rsidR="00414871" w:rsidRPr="00414871" w:rsidTr="00414871">
        <w:trPr>
          <w:trHeight w:val="372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1991-2000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3F3F3F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2292</w:t>
            </w:r>
          </w:p>
        </w:tc>
      </w:tr>
      <w:tr w:rsidR="00414871" w:rsidRPr="00414871" w:rsidTr="00414871">
        <w:trPr>
          <w:trHeight w:val="391"/>
          <w:jc w:val="center"/>
        </w:trPr>
        <w:tc>
          <w:tcPr>
            <w:tcW w:w="20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2001-2010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414871" w:rsidRPr="00414871" w:rsidRDefault="00414871" w:rsidP="004148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</w:pPr>
            <w:r w:rsidRPr="00414871">
              <w:rPr>
                <w:rFonts w:ascii="Calibri" w:eastAsia="Times New Roman" w:hAnsi="Calibri" w:cs="Calibri"/>
                <w:b/>
                <w:bCs/>
                <w:color w:val="3F3F3F"/>
                <w:sz w:val="24"/>
                <w:szCs w:val="24"/>
              </w:rPr>
              <w:t>1342</w:t>
            </w:r>
          </w:p>
        </w:tc>
      </w:tr>
    </w:tbl>
    <w:p w:rsidR="004F08A4" w:rsidRDefault="004F08A4" w:rsidP="007B3F27">
      <w:pPr>
        <w:spacing w:line="240" w:lineRule="auto"/>
        <w:jc w:val="center"/>
        <w:rPr>
          <w:noProof/>
          <w:sz w:val="24"/>
          <w:szCs w:val="24"/>
        </w:rPr>
      </w:pPr>
    </w:p>
    <w:p w:rsidR="004F08A4" w:rsidRDefault="004F08A4" w:rsidP="007B3F27">
      <w:pPr>
        <w:spacing w:line="240" w:lineRule="auto"/>
        <w:jc w:val="center"/>
        <w:rPr>
          <w:noProof/>
          <w:sz w:val="24"/>
          <w:szCs w:val="24"/>
        </w:rPr>
      </w:pPr>
    </w:p>
    <w:p w:rsidR="00F50AA3" w:rsidRDefault="007B3F27" w:rsidP="007B3F27">
      <w:pPr>
        <w:spacing w:line="240" w:lineRule="auto"/>
        <w:jc w:val="center"/>
        <w:rPr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50AA3" w:rsidRDefault="00F50AA3" w:rsidP="00FA30D9">
      <w:pPr>
        <w:spacing w:line="120" w:lineRule="auto"/>
        <w:ind w:left="720" w:hanging="720"/>
        <w:rPr>
          <w:sz w:val="24"/>
          <w:szCs w:val="24"/>
        </w:rPr>
      </w:pPr>
    </w:p>
    <w:p w:rsidR="00414871" w:rsidRPr="00997F5B" w:rsidRDefault="00414871" w:rsidP="00A54DA5">
      <w:pPr>
        <w:spacing w:line="360" w:lineRule="auto"/>
        <w:rPr>
          <w:b/>
          <w:sz w:val="28"/>
          <w:szCs w:val="28"/>
          <w:u w:val="single"/>
        </w:rPr>
      </w:pPr>
      <w:r w:rsidRPr="00997F5B">
        <w:rPr>
          <w:b/>
          <w:sz w:val="28"/>
          <w:szCs w:val="28"/>
          <w:u w:val="single"/>
        </w:rPr>
        <w:t>Items of Note:</w:t>
      </w:r>
    </w:p>
    <w:p w:rsidR="00414871" w:rsidRDefault="00776087" w:rsidP="00A54DA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As previously stated, the report indicates that BHS LMC manages 17,653 resources. Of those</w:t>
      </w:r>
      <w:r w:rsidR="00430AD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430AD7">
        <w:rPr>
          <w:sz w:val="24"/>
          <w:szCs w:val="24"/>
        </w:rPr>
        <w:t>376 were in material types I assume indicate</w:t>
      </w:r>
      <w:r w:rsidR="009532DB">
        <w:rPr>
          <w:sz w:val="24"/>
          <w:szCs w:val="24"/>
        </w:rPr>
        <w:t xml:space="preserve"> that they are no longer at BHS.</w:t>
      </w:r>
    </w:p>
    <w:p w:rsidR="009532DB" w:rsidRDefault="009532DB" w:rsidP="00A54DA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Taking into consideration those assumptions, I believe BHS LMC has 17,277 resources available.</w:t>
      </w:r>
    </w:p>
    <w:p w:rsidR="009532DB" w:rsidRDefault="009532DB" w:rsidP="00A54DA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As previously stated, there are 1595 items whose copyright date is unknown and there is no easy method to discern the copyright date. </w:t>
      </w:r>
    </w:p>
    <w:p w:rsidR="009532DB" w:rsidRDefault="009532DB" w:rsidP="00A54DA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If I remove the invalidly dated, discarded in 2002/2003, and the one lost book from </w:t>
      </w:r>
      <w:r w:rsidR="00997F5B">
        <w:rPr>
          <w:sz w:val="24"/>
          <w:szCs w:val="24"/>
        </w:rPr>
        <w:t xml:space="preserve">the </w:t>
      </w:r>
      <w:r>
        <w:rPr>
          <w:sz w:val="24"/>
          <w:szCs w:val="24"/>
        </w:rPr>
        <w:t>17,277</w:t>
      </w:r>
      <w:r w:rsidR="00997F5B">
        <w:rPr>
          <w:sz w:val="24"/>
          <w:szCs w:val="24"/>
        </w:rPr>
        <w:t xml:space="preserve"> total</w:t>
      </w:r>
      <w:r>
        <w:rPr>
          <w:sz w:val="24"/>
          <w:szCs w:val="24"/>
        </w:rPr>
        <w:t xml:space="preserve">, I believe there to be </w:t>
      </w:r>
      <w:r w:rsidR="00154D62">
        <w:rPr>
          <w:sz w:val="24"/>
          <w:szCs w:val="24"/>
        </w:rPr>
        <w:t>15,689 available materials</w:t>
      </w:r>
      <w:r w:rsidR="00997F5B">
        <w:rPr>
          <w:sz w:val="24"/>
          <w:szCs w:val="24"/>
        </w:rPr>
        <w:t xml:space="preserve"> in BHS LMC</w:t>
      </w:r>
      <w:r w:rsidR="00154D62">
        <w:rPr>
          <w:sz w:val="24"/>
          <w:szCs w:val="24"/>
        </w:rPr>
        <w:t xml:space="preserve">. </w:t>
      </w:r>
    </w:p>
    <w:p w:rsidR="00154D62" w:rsidRDefault="00154D62" w:rsidP="00A54DA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available materials greater than 10 years old equals 14,347 and represents </w:t>
      </w:r>
      <w:r w:rsidRPr="00C85CFE">
        <w:rPr>
          <w:b/>
          <w:sz w:val="24"/>
          <w:szCs w:val="24"/>
        </w:rPr>
        <w:t>91.4%</w:t>
      </w:r>
      <w:r>
        <w:rPr>
          <w:sz w:val="24"/>
          <w:szCs w:val="24"/>
        </w:rPr>
        <w:t xml:space="preserve"> of the collection.</w:t>
      </w:r>
    </w:p>
    <w:p w:rsidR="00154D62" w:rsidRDefault="00154D62" w:rsidP="00A54DA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decade with the most items is between 1961 and 1970 comprising </w:t>
      </w:r>
      <w:r w:rsidRPr="00C85CFE">
        <w:rPr>
          <w:b/>
          <w:sz w:val="24"/>
          <w:szCs w:val="24"/>
        </w:rPr>
        <w:t>28.1%</w:t>
      </w:r>
      <w:r>
        <w:rPr>
          <w:sz w:val="24"/>
          <w:szCs w:val="24"/>
        </w:rPr>
        <w:t xml:space="preserve"> of the collection.</w:t>
      </w:r>
    </w:p>
    <w:p w:rsidR="00997F5B" w:rsidRDefault="00997F5B" w:rsidP="00A54DA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material type </w:t>
      </w:r>
      <w:r w:rsidRPr="00997F5B">
        <w:rPr>
          <w:i/>
          <w:sz w:val="24"/>
          <w:szCs w:val="24"/>
        </w:rPr>
        <w:t>Reference</w:t>
      </w:r>
      <w:r>
        <w:rPr>
          <w:sz w:val="24"/>
          <w:szCs w:val="24"/>
        </w:rPr>
        <w:t xml:space="preserve"> lists 1951 items with 168 having invalid dates leaving 1783 materials to analyze. Using the last figure, </w:t>
      </w:r>
      <w:r w:rsidRPr="00C85CFE">
        <w:rPr>
          <w:b/>
          <w:sz w:val="24"/>
          <w:szCs w:val="24"/>
        </w:rPr>
        <w:t>90.1%</w:t>
      </w:r>
      <w:r>
        <w:rPr>
          <w:sz w:val="24"/>
          <w:szCs w:val="24"/>
        </w:rPr>
        <w:t xml:space="preserve"> of the BHS Reference collection is older than 10 years. </w:t>
      </w:r>
    </w:p>
    <w:p w:rsidR="00FF1DA5" w:rsidRPr="00FF1DA5" w:rsidRDefault="00FF1DA5" w:rsidP="00FF1DA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If the invalid dates happened to be recent materials the above percentage data would naturally change</w:t>
      </w:r>
      <w:r w:rsidR="00C85CFE">
        <w:rPr>
          <w:sz w:val="24"/>
          <w:szCs w:val="24"/>
        </w:rPr>
        <w:t>,</w:t>
      </w:r>
      <w:r>
        <w:rPr>
          <w:sz w:val="24"/>
          <w:szCs w:val="24"/>
        </w:rPr>
        <w:t xml:space="preserve"> but those could just as well be from 1960 as </w:t>
      </w:r>
      <w:r w:rsidR="00C85CFE">
        <w:rPr>
          <w:sz w:val="24"/>
          <w:szCs w:val="24"/>
        </w:rPr>
        <w:t xml:space="preserve">from </w:t>
      </w:r>
      <w:r>
        <w:rPr>
          <w:sz w:val="24"/>
          <w:szCs w:val="24"/>
        </w:rPr>
        <w:t>2010.</w:t>
      </w:r>
      <w:bookmarkStart w:id="0" w:name="_GoBack"/>
      <w:bookmarkEnd w:id="0"/>
    </w:p>
    <w:p w:rsidR="005707A3" w:rsidRDefault="005707A3" w:rsidP="00A54DA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BHS LMC website has a link to the </w:t>
      </w:r>
      <w:proofErr w:type="spellStart"/>
      <w:r>
        <w:rPr>
          <w:sz w:val="24"/>
          <w:szCs w:val="24"/>
        </w:rPr>
        <w:t>InfoTrac</w:t>
      </w:r>
      <w:proofErr w:type="spellEnd"/>
      <w:r w:rsidR="00C85CF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A54DA5">
        <w:rPr>
          <w:sz w:val="24"/>
          <w:szCs w:val="24"/>
        </w:rPr>
        <w:t>an</w:t>
      </w:r>
      <w:r>
        <w:rPr>
          <w:sz w:val="24"/>
          <w:szCs w:val="24"/>
        </w:rPr>
        <w:t xml:space="preserve"> online database of educational journals and</w:t>
      </w:r>
      <w:r w:rsidR="00C85CFE">
        <w:rPr>
          <w:sz w:val="24"/>
          <w:szCs w:val="24"/>
        </w:rPr>
        <w:t xml:space="preserve"> reference materials funded through</w:t>
      </w:r>
      <w:r>
        <w:rPr>
          <w:sz w:val="24"/>
          <w:szCs w:val="24"/>
        </w:rPr>
        <w:t xml:space="preserve"> the Massachusetts Board of Library Commissioners. However, the website has not been maintained properly nor are there directions for access</w:t>
      </w:r>
      <w:r w:rsidR="00C85CFE">
        <w:rPr>
          <w:sz w:val="24"/>
          <w:szCs w:val="24"/>
        </w:rPr>
        <w:t xml:space="preserve"> posted online</w:t>
      </w:r>
      <w:r>
        <w:rPr>
          <w:sz w:val="24"/>
          <w:szCs w:val="24"/>
        </w:rPr>
        <w:t>.</w:t>
      </w:r>
    </w:p>
    <w:p w:rsidR="00997F5B" w:rsidRDefault="00997F5B" w:rsidP="00997F5B">
      <w:pPr>
        <w:ind w:left="360"/>
        <w:rPr>
          <w:sz w:val="24"/>
          <w:szCs w:val="24"/>
        </w:rPr>
      </w:pPr>
    </w:p>
    <w:p w:rsidR="00997F5B" w:rsidRPr="00EA03F5" w:rsidRDefault="00997F5B" w:rsidP="00A54DA5">
      <w:pPr>
        <w:spacing w:line="360" w:lineRule="auto"/>
        <w:ind w:left="360"/>
        <w:rPr>
          <w:b/>
          <w:sz w:val="28"/>
          <w:szCs w:val="28"/>
          <w:u w:val="single"/>
        </w:rPr>
      </w:pPr>
      <w:r w:rsidRPr="00EA03F5">
        <w:rPr>
          <w:b/>
          <w:sz w:val="28"/>
          <w:szCs w:val="28"/>
          <w:u w:val="single"/>
        </w:rPr>
        <w:t>For Consideration:</w:t>
      </w:r>
    </w:p>
    <w:p w:rsidR="00EA03F5" w:rsidRPr="00EA03F5" w:rsidRDefault="00997F5B" w:rsidP="00A54DA5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Massachusetts School </w:t>
      </w:r>
      <w:r w:rsidR="00C85CFE">
        <w:rPr>
          <w:sz w:val="24"/>
          <w:szCs w:val="24"/>
        </w:rPr>
        <w:t xml:space="preserve">Library </w:t>
      </w:r>
      <w:r w:rsidR="005707A3">
        <w:rPr>
          <w:sz w:val="24"/>
          <w:szCs w:val="24"/>
        </w:rPr>
        <w:t xml:space="preserve">Association recommends: </w:t>
      </w:r>
    </w:p>
    <w:p w:rsidR="005707A3" w:rsidRPr="00C85CFE" w:rsidRDefault="005707A3" w:rsidP="00A54DA5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center"/>
        <w:rPr>
          <w:rFonts w:ascii="Times New Roman" w:hAnsi="Times New Roman" w:cs="Times New Roman"/>
          <w:bCs/>
        </w:rPr>
      </w:pPr>
      <w:r w:rsidRPr="00C85CFE">
        <w:rPr>
          <w:rFonts w:ascii="Times New Roman" w:hAnsi="Times New Roman" w:cs="Times New Roman"/>
          <w:bCs/>
        </w:rPr>
        <w:t>Establishing a system to maintain a print collection in which 70% of the books have a published date of ten years or less.</w:t>
      </w:r>
    </w:p>
    <w:p w:rsidR="005707A3" w:rsidRPr="001B474D" w:rsidRDefault="005707A3" w:rsidP="00A54DA5">
      <w:pPr>
        <w:pStyle w:val="ListParagraph"/>
        <w:autoSpaceDE w:val="0"/>
        <w:autoSpaceDN w:val="0"/>
        <w:adjustRightInd w:val="0"/>
        <w:spacing w:after="0" w:line="360" w:lineRule="auto"/>
        <w:ind w:left="1080" w:firstLine="360"/>
        <w:jc w:val="center"/>
        <w:rPr>
          <w:rFonts w:ascii="TimesNewRoman,Bold" w:hAnsi="TimesNewRoman,Bold" w:cs="TimesNewRoman,Bold"/>
          <w:bCs/>
          <w:sz w:val="24"/>
          <w:szCs w:val="24"/>
        </w:rPr>
      </w:pPr>
      <w:r w:rsidRPr="001B474D">
        <w:rPr>
          <w:rFonts w:ascii="TimesNewRoman,Bold" w:hAnsi="TimesNewRoman,Bold" w:cs="TimesNewRoman,Bold"/>
          <w:bCs/>
          <w:sz w:val="20"/>
          <w:szCs w:val="20"/>
          <w:u w:val="single"/>
        </w:rPr>
        <w:t>http://maschoolibraries.org/dmdocuments/standardsrev.pdf</w:t>
      </w:r>
    </w:p>
    <w:p w:rsidR="005707A3" w:rsidRDefault="005707A3" w:rsidP="00A54DA5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ascii="TimesNewRoman,Bold" w:hAnsi="TimesNewRoman,Bold" w:cs="TimesNewRoman,Bold"/>
          <w:bCs/>
          <w:sz w:val="24"/>
          <w:szCs w:val="24"/>
        </w:rPr>
      </w:pPr>
    </w:p>
    <w:p w:rsidR="005707A3" w:rsidRPr="001B474D" w:rsidRDefault="00C85CFE" w:rsidP="00A54DA5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It is my opinion that BHS LMC </w:t>
      </w:r>
      <w:r w:rsidR="005707A3" w:rsidRPr="001B474D">
        <w:rPr>
          <w:rFonts w:cstheme="minorHAnsi"/>
          <w:bCs/>
          <w:sz w:val="24"/>
          <w:szCs w:val="24"/>
        </w:rPr>
        <w:t xml:space="preserve">does not meet this standard in the general or reference </w:t>
      </w:r>
      <w:r>
        <w:rPr>
          <w:rFonts w:cstheme="minorHAnsi"/>
          <w:bCs/>
          <w:sz w:val="24"/>
          <w:szCs w:val="24"/>
        </w:rPr>
        <w:t xml:space="preserve">print </w:t>
      </w:r>
      <w:r w:rsidR="005707A3" w:rsidRPr="001B474D">
        <w:rPr>
          <w:rFonts w:cstheme="minorHAnsi"/>
          <w:bCs/>
          <w:sz w:val="24"/>
          <w:szCs w:val="24"/>
        </w:rPr>
        <w:t>collections.</w:t>
      </w:r>
    </w:p>
    <w:p w:rsidR="001B474D" w:rsidRPr="001B474D" w:rsidRDefault="001B474D" w:rsidP="00A54D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r w:rsidRPr="001B474D">
        <w:rPr>
          <w:rFonts w:cstheme="minorHAnsi"/>
          <w:bCs/>
          <w:sz w:val="24"/>
          <w:szCs w:val="24"/>
        </w:rPr>
        <w:t xml:space="preserve">Although </w:t>
      </w:r>
      <w:r w:rsidR="00EA03F5">
        <w:rPr>
          <w:rFonts w:cstheme="minorHAnsi"/>
          <w:bCs/>
          <w:sz w:val="24"/>
          <w:szCs w:val="24"/>
        </w:rPr>
        <w:t>un</w:t>
      </w:r>
      <w:r w:rsidRPr="001B474D">
        <w:rPr>
          <w:rFonts w:cstheme="minorHAnsi"/>
          <w:bCs/>
          <w:sz w:val="24"/>
          <w:szCs w:val="24"/>
        </w:rPr>
        <w:t>able to find specific standards for NEASC, it does state that LMC materials must be</w:t>
      </w:r>
    </w:p>
    <w:p w:rsidR="001B474D" w:rsidRPr="00C85CFE" w:rsidRDefault="001B474D" w:rsidP="00A54DA5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center"/>
        <w:rPr>
          <w:rFonts w:ascii="Times New Roman" w:hAnsi="Times New Roman" w:cs="Times New Roman"/>
          <w:color w:val="000000"/>
        </w:rPr>
      </w:pPr>
      <w:proofErr w:type="gramStart"/>
      <w:r w:rsidRPr="00C85CFE">
        <w:rPr>
          <w:rFonts w:ascii="Times New Roman" w:hAnsi="Times New Roman" w:cs="Times New Roman"/>
          <w:color w:val="000000"/>
        </w:rPr>
        <w:t>appropriate</w:t>
      </w:r>
      <w:proofErr w:type="gramEnd"/>
      <w:r w:rsidRPr="00C85CFE">
        <w:rPr>
          <w:rFonts w:ascii="Times New Roman" w:hAnsi="Times New Roman" w:cs="Times New Roman"/>
          <w:color w:val="000000"/>
        </w:rPr>
        <w:t xml:space="preserve"> in quality, level, scope, diversity, quantity, and currency to </w:t>
      </w:r>
    </w:p>
    <w:p w:rsidR="005707A3" w:rsidRPr="00C85CFE" w:rsidRDefault="001B474D" w:rsidP="00A54DA5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center"/>
        <w:rPr>
          <w:rFonts w:ascii="Times New Roman" w:hAnsi="Times New Roman" w:cs="Times New Roman"/>
          <w:color w:val="000000"/>
        </w:rPr>
      </w:pPr>
      <w:proofErr w:type="gramStart"/>
      <w:r w:rsidRPr="00C85CFE">
        <w:rPr>
          <w:rFonts w:ascii="Times New Roman" w:hAnsi="Times New Roman" w:cs="Times New Roman"/>
          <w:color w:val="000000"/>
        </w:rPr>
        <w:t>support</w:t>
      </w:r>
      <w:proofErr w:type="gramEnd"/>
      <w:r w:rsidRPr="00C85CFE">
        <w:rPr>
          <w:rFonts w:ascii="Times New Roman" w:hAnsi="Times New Roman" w:cs="Times New Roman"/>
          <w:color w:val="000000"/>
        </w:rPr>
        <w:t xml:space="preserve"> and enrich the institution's mission</w:t>
      </w:r>
    </w:p>
    <w:p w:rsidR="00EA03F5" w:rsidRDefault="00005E0B" w:rsidP="00A54DA5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center"/>
        <w:rPr>
          <w:rFonts w:ascii="Times New Roman" w:hAnsi="Times New Roman" w:cs="Times New Roman"/>
          <w:bCs/>
          <w:sz w:val="20"/>
          <w:szCs w:val="20"/>
          <w:u w:val="single"/>
        </w:rPr>
      </w:pPr>
      <w:hyperlink r:id="rId6" w:history="1">
        <w:r w:rsidR="00A54DA5" w:rsidRPr="0035517F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http://ctci.neasc.org/standards_amp_policies/postsecondary_standards/9_library_and_information_resources/</w:t>
        </w:r>
      </w:hyperlink>
    </w:p>
    <w:p w:rsidR="00A54DA5" w:rsidRPr="00A54DA5" w:rsidRDefault="00A54DA5" w:rsidP="00A54DA5">
      <w:pPr>
        <w:pStyle w:val="ListParagraph"/>
        <w:autoSpaceDE w:val="0"/>
        <w:autoSpaceDN w:val="0"/>
        <w:adjustRightInd w:val="0"/>
        <w:spacing w:after="0" w:line="360" w:lineRule="auto"/>
        <w:ind w:left="108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Again, it is my opinion that BHS LMC does not meet that standard.</w:t>
      </w:r>
    </w:p>
    <w:p w:rsidR="001B474D" w:rsidRDefault="00C85CFE" w:rsidP="00A54DA5">
      <w:pPr>
        <w:pStyle w:val="ListParagraph"/>
        <w:numPr>
          <w:ilvl w:val="0"/>
          <w:numId w:val="2"/>
        </w:numPr>
        <w:tabs>
          <w:tab w:val="left" w:pos="90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Updating</w:t>
      </w:r>
      <w:r w:rsidR="00EA03F5">
        <w:rPr>
          <w:sz w:val="24"/>
          <w:szCs w:val="24"/>
        </w:rPr>
        <w:t xml:space="preserve"> the library management system. Winnebago Spectrum 5 is a site based program that is no longer available for sale. There are a number of web-based software programs. </w:t>
      </w:r>
      <w:r w:rsidR="00A54DA5">
        <w:rPr>
          <w:sz w:val="24"/>
          <w:szCs w:val="24"/>
        </w:rPr>
        <w:t xml:space="preserve">Not only would it aid the LMC staff, but the BHS LMC collection could be accessed 24/7 through the internet by staff and students. </w:t>
      </w:r>
      <w:r>
        <w:rPr>
          <w:sz w:val="24"/>
          <w:szCs w:val="24"/>
        </w:rPr>
        <w:t xml:space="preserve"> An example of the system I used to automate my previous LMC can be found using </w:t>
      </w:r>
      <w:hyperlink r:id="rId7" w:history="1">
        <w:r w:rsidR="00D16FB7" w:rsidRPr="00F81510">
          <w:rPr>
            <w:rStyle w:val="Hyperlink"/>
          </w:rPr>
          <w:t>http://lib.drregional.org</w:t>
        </w:r>
      </w:hyperlink>
      <w:r w:rsidR="00D16FB7">
        <w:rPr>
          <w:sz w:val="24"/>
          <w:szCs w:val="24"/>
        </w:rPr>
        <w:t xml:space="preserve"> </w:t>
      </w:r>
      <w:r w:rsidR="00DB4CC2">
        <w:rPr>
          <w:sz w:val="24"/>
          <w:szCs w:val="24"/>
        </w:rPr>
        <w:t>, choosing</w:t>
      </w:r>
      <w:r w:rsidR="00D16FB7">
        <w:rPr>
          <w:sz w:val="24"/>
          <w:szCs w:val="24"/>
        </w:rPr>
        <w:t xml:space="preserve"> Palmer River Elementary School, and then enter</w:t>
      </w:r>
      <w:r w:rsidR="00DB4CC2">
        <w:rPr>
          <w:sz w:val="24"/>
          <w:szCs w:val="24"/>
        </w:rPr>
        <w:t>ing</w:t>
      </w:r>
      <w:r w:rsidR="00D16FB7">
        <w:rPr>
          <w:sz w:val="24"/>
          <w:szCs w:val="24"/>
        </w:rPr>
        <w:t xml:space="preserve"> a search term like dinosaurs</w:t>
      </w:r>
      <w:r w:rsidR="00DB4CC2">
        <w:rPr>
          <w:sz w:val="24"/>
          <w:szCs w:val="24"/>
        </w:rPr>
        <w:t xml:space="preserve"> or </w:t>
      </w:r>
      <w:r w:rsidR="00786EFA">
        <w:rPr>
          <w:sz w:val="24"/>
          <w:szCs w:val="24"/>
        </w:rPr>
        <w:t>Rowling</w:t>
      </w:r>
      <w:r w:rsidR="00D16FB7">
        <w:rPr>
          <w:sz w:val="24"/>
          <w:szCs w:val="24"/>
        </w:rPr>
        <w:t>.</w:t>
      </w:r>
    </w:p>
    <w:p w:rsidR="00EA03F5" w:rsidRDefault="00D16FB7" w:rsidP="00A54DA5">
      <w:pPr>
        <w:pStyle w:val="ListParagraph"/>
        <w:numPr>
          <w:ilvl w:val="0"/>
          <w:numId w:val="2"/>
        </w:numPr>
        <w:tabs>
          <w:tab w:val="left" w:pos="90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Increasing</w:t>
      </w:r>
      <w:r w:rsidR="00EA03F5">
        <w:rPr>
          <w:sz w:val="24"/>
          <w:szCs w:val="24"/>
        </w:rPr>
        <w:t xml:space="preserve"> funding for LMC resources.</w:t>
      </w:r>
    </w:p>
    <w:p w:rsidR="00EA03F5" w:rsidRDefault="00EA03F5" w:rsidP="00A54DA5">
      <w:pPr>
        <w:pStyle w:val="ListParagraph"/>
        <w:numPr>
          <w:ilvl w:val="0"/>
          <w:numId w:val="2"/>
        </w:numPr>
        <w:tabs>
          <w:tab w:val="left" w:pos="90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Investig</w:t>
      </w:r>
      <w:r w:rsidR="00D16FB7">
        <w:rPr>
          <w:sz w:val="24"/>
          <w:szCs w:val="24"/>
        </w:rPr>
        <w:t>ating</w:t>
      </w:r>
      <w:r w:rsidR="001D4484">
        <w:rPr>
          <w:sz w:val="24"/>
          <w:szCs w:val="24"/>
        </w:rPr>
        <w:t xml:space="preserve"> past spending of LMC budget and modify as needed</w:t>
      </w:r>
    </w:p>
    <w:p w:rsidR="00EA03F5" w:rsidRDefault="00EA03F5" w:rsidP="00A54DA5">
      <w:pPr>
        <w:pStyle w:val="ListParagraph"/>
        <w:numPr>
          <w:ilvl w:val="0"/>
          <w:numId w:val="2"/>
        </w:numPr>
        <w:tabs>
          <w:tab w:val="left" w:pos="90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Aggressively weed</w:t>
      </w:r>
      <w:r w:rsidR="00DB4CC2">
        <w:rPr>
          <w:sz w:val="24"/>
          <w:szCs w:val="24"/>
        </w:rPr>
        <w:t>ing</w:t>
      </w:r>
      <w:r>
        <w:rPr>
          <w:sz w:val="24"/>
          <w:szCs w:val="24"/>
        </w:rPr>
        <w:t xml:space="preserve"> the LMC collection of outdated materials following professional library standards and the BHS district policy.</w:t>
      </w:r>
    </w:p>
    <w:p w:rsidR="00C85CFE" w:rsidRDefault="00DB4CC2" w:rsidP="00A54DA5">
      <w:pPr>
        <w:pStyle w:val="ListParagraph"/>
        <w:numPr>
          <w:ilvl w:val="0"/>
          <w:numId w:val="2"/>
        </w:numPr>
        <w:tabs>
          <w:tab w:val="left" w:pos="90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Updating</w:t>
      </w:r>
      <w:r w:rsidR="00C85CFE">
        <w:rPr>
          <w:sz w:val="24"/>
          <w:szCs w:val="24"/>
        </w:rPr>
        <w:t xml:space="preserve"> the LMC webpage.</w:t>
      </w:r>
    </w:p>
    <w:p w:rsidR="001D4484" w:rsidRDefault="001D4484" w:rsidP="00A54DA5">
      <w:pPr>
        <w:tabs>
          <w:tab w:val="left" w:pos="904"/>
        </w:tabs>
        <w:spacing w:line="360" w:lineRule="auto"/>
        <w:ind w:left="720"/>
        <w:rPr>
          <w:sz w:val="24"/>
          <w:szCs w:val="24"/>
        </w:rPr>
      </w:pPr>
    </w:p>
    <w:p w:rsidR="001D4484" w:rsidRPr="001D4484" w:rsidRDefault="001D4484" w:rsidP="00A54DA5">
      <w:pPr>
        <w:tabs>
          <w:tab w:val="left" w:pos="904"/>
        </w:tabs>
        <w:spacing w:line="360" w:lineRule="auto"/>
        <w:ind w:left="720"/>
        <w:rPr>
          <w:b/>
          <w:sz w:val="28"/>
          <w:szCs w:val="28"/>
          <w:u w:val="single"/>
        </w:rPr>
      </w:pPr>
      <w:r w:rsidRPr="001D4484">
        <w:rPr>
          <w:b/>
          <w:sz w:val="28"/>
          <w:szCs w:val="28"/>
          <w:u w:val="single"/>
        </w:rPr>
        <w:t>In conclusion:</w:t>
      </w:r>
    </w:p>
    <w:p w:rsidR="001D4484" w:rsidRPr="001D4484" w:rsidRDefault="001D4484" w:rsidP="00A54DA5">
      <w:pPr>
        <w:tabs>
          <w:tab w:val="left" w:pos="904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Administration has indicated that a new approach to l</w:t>
      </w:r>
      <w:r w:rsidR="00C85CFE">
        <w:rPr>
          <w:sz w:val="24"/>
          <w:szCs w:val="24"/>
        </w:rPr>
        <w:t>ibrary services at BHS is warranted</w:t>
      </w:r>
      <w:r>
        <w:rPr>
          <w:sz w:val="24"/>
          <w:szCs w:val="24"/>
        </w:rPr>
        <w:t xml:space="preserve"> and wanted. Part of increasing collaboration between staff, students, and the media center </w:t>
      </w:r>
      <w:r w:rsidR="00C85CFE">
        <w:rPr>
          <w:sz w:val="24"/>
          <w:szCs w:val="24"/>
        </w:rPr>
        <w:t xml:space="preserve">as well as changing the mind-set towards use of the media center </w:t>
      </w:r>
      <w:r>
        <w:rPr>
          <w:sz w:val="24"/>
          <w:szCs w:val="24"/>
        </w:rPr>
        <w:t>is the ability to offer a modern, professi</w:t>
      </w:r>
      <w:r w:rsidR="00DB4CC2">
        <w:rPr>
          <w:sz w:val="24"/>
          <w:szCs w:val="24"/>
        </w:rPr>
        <w:t>onal, and appropriate product</w:t>
      </w:r>
      <w:r>
        <w:rPr>
          <w:sz w:val="24"/>
          <w:szCs w:val="24"/>
        </w:rPr>
        <w:t>. Fixing the print collection can be one st</w:t>
      </w:r>
      <w:r w:rsidR="00C85CFE">
        <w:rPr>
          <w:sz w:val="24"/>
          <w:szCs w:val="24"/>
        </w:rPr>
        <w:t>ep towards achieving BHS’s objective</w:t>
      </w:r>
      <w:r>
        <w:rPr>
          <w:sz w:val="24"/>
          <w:szCs w:val="24"/>
        </w:rPr>
        <w:t>.</w:t>
      </w:r>
    </w:p>
    <w:sectPr w:rsidR="001D4484" w:rsidRPr="001D4484" w:rsidSect="00414871">
      <w:pgSz w:w="12240" w:h="15840"/>
      <w:pgMar w:top="135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3377E"/>
    <w:multiLevelType w:val="hybridMultilevel"/>
    <w:tmpl w:val="13947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12AEA"/>
    <w:multiLevelType w:val="hybridMultilevel"/>
    <w:tmpl w:val="9D30DA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75AA6"/>
    <w:rsid w:val="00003758"/>
    <w:rsid w:val="00005E0B"/>
    <w:rsid w:val="00154D62"/>
    <w:rsid w:val="001B474D"/>
    <w:rsid w:val="001D4484"/>
    <w:rsid w:val="002752BE"/>
    <w:rsid w:val="00284E6F"/>
    <w:rsid w:val="00414871"/>
    <w:rsid w:val="00430AD7"/>
    <w:rsid w:val="004F08A4"/>
    <w:rsid w:val="005707A3"/>
    <w:rsid w:val="00575AA6"/>
    <w:rsid w:val="005A73D0"/>
    <w:rsid w:val="006A60B5"/>
    <w:rsid w:val="00776087"/>
    <w:rsid w:val="00786EFA"/>
    <w:rsid w:val="007B3F27"/>
    <w:rsid w:val="009532DB"/>
    <w:rsid w:val="00997F5B"/>
    <w:rsid w:val="00A54DA5"/>
    <w:rsid w:val="00AB10E9"/>
    <w:rsid w:val="00B21B99"/>
    <w:rsid w:val="00C85CFE"/>
    <w:rsid w:val="00D04463"/>
    <w:rsid w:val="00D16FB7"/>
    <w:rsid w:val="00DB4CC2"/>
    <w:rsid w:val="00EA03F5"/>
    <w:rsid w:val="00EC417B"/>
    <w:rsid w:val="00F50AA3"/>
    <w:rsid w:val="00FA30D9"/>
    <w:rsid w:val="00FF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E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A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8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47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A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8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47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.drregional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tci.neasc.org/standards_amp_policies/postsecondary_standards/9_library_and_information_resources/" TargetMode="Externa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usan\Documents\BHS%20Books%20by%20Copyright%20Dat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 algn="ctr">
              <a:defRPr/>
            </a:pPr>
            <a:r>
              <a:rPr lang="en-US" sz="1200" b="1" i="0" baseline="0">
                <a:effectLst/>
              </a:rPr>
              <a:t>BHS LMC Resources  by </a:t>
            </a:r>
            <a:endParaRPr lang="en-US" sz="1200">
              <a:effectLst/>
            </a:endParaRPr>
          </a:p>
          <a:p>
            <a:pPr algn="ctr">
              <a:defRPr/>
            </a:pPr>
            <a:r>
              <a:rPr lang="en-US" sz="1200" b="1" i="0" baseline="0">
                <a:effectLst/>
              </a:rPr>
              <a:t>Copyright Date</a:t>
            </a:r>
            <a:endParaRPr lang="en-US" sz="1200">
              <a:effectLst/>
            </a:endParaRPr>
          </a:p>
        </c:rich>
      </c:tx>
      <c:layout/>
    </c:title>
    <c:plotArea>
      <c:layout>
        <c:manualLayout>
          <c:layoutTarget val="inner"/>
          <c:xMode val="edge"/>
          <c:yMode val="edge"/>
          <c:x val="0.16461351706036748"/>
          <c:y val="0.19630796150481192"/>
          <c:w val="0.80483092738407724"/>
          <c:h val="0.53087160979877523"/>
        </c:manualLayout>
      </c:layout>
      <c:lineChart>
        <c:grouping val="standard"/>
        <c:ser>
          <c:idx val="0"/>
          <c:order val="0"/>
          <c:cat>
            <c:strRef>
              <c:f>Sheet1!$A$2:$A$12</c:f>
              <c:strCache>
                <c:ptCount val="11"/>
                <c:pt idx="0">
                  <c:v>1901-1910</c:v>
                </c:pt>
                <c:pt idx="1">
                  <c:v>1911-1920</c:v>
                </c:pt>
                <c:pt idx="2">
                  <c:v>1921-1930</c:v>
                </c:pt>
                <c:pt idx="3">
                  <c:v>1931-1940</c:v>
                </c:pt>
                <c:pt idx="4">
                  <c:v>1941-1950</c:v>
                </c:pt>
                <c:pt idx="5">
                  <c:v>1951-1960</c:v>
                </c:pt>
                <c:pt idx="6">
                  <c:v>1961-1970</c:v>
                </c:pt>
                <c:pt idx="7">
                  <c:v>1971-1980</c:v>
                </c:pt>
                <c:pt idx="8">
                  <c:v>1981-1990</c:v>
                </c:pt>
                <c:pt idx="9">
                  <c:v>1991-2000</c:v>
                </c:pt>
                <c:pt idx="10">
                  <c:v>2001-2010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28</c:v>
                </c:pt>
                <c:pt idx="1">
                  <c:v>28</c:v>
                </c:pt>
                <c:pt idx="2">
                  <c:v>103</c:v>
                </c:pt>
                <c:pt idx="3">
                  <c:v>239</c:v>
                </c:pt>
                <c:pt idx="4">
                  <c:v>385</c:v>
                </c:pt>
                <c:pt idx="5">
                  <c:v>1319</c:v>
                </c:pt>
                <c:pt idx="6">
                  <c:v>4419</c:v>
                </c:pt>
                <c:pt idx="7">
                  <c:v>3553</c:v>
                </c:pt>
                <c:pt idx="8">
                  <c:v>2557</c:v>
                </c:pt>
                <c:pt idx="9">
                  <c:v>2292</c:v>
                </c:pt>
                <c:pt idx="10">
                  <c:v>1342</c:v>
                </c:pt>
              </c:numCache>
            </c:numRef>
          </c:val>
        </c:ser>
        <c:dLbls/>
        <c:dropLines/>
        <c:marker val="1"/>
        <c:axId val="66171264"/>
        <c:axId val="66173184"/>
      </c:lineChart>
      <c:catAx>
        <c:axId val="6617126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Years by Decade</a:t>
                </a:r>
              </a:p>
            </c:rich>
          </c:tx>
          <c:layout/>
        </c:title>
        <c:maj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66173184"/>
        <c:crosses val="autoZero"/>
        <c:auto val="1"/>
        <c:lblAlgn val="ctr"/>
        <c:lblOffset val="100"/>
      </c:catAx>
      <c:valAx>
        <c:axId val="66173184"/>
        <c:scaling>
          <c:orientation val="minMax"/>
          <c:max val="45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Resources</a:t>
                </a:r>
              </a:p>
            </c:rich>
          </c:tx>
          <c:layout/>
        </c:title>
        <c:numFmt formatCode="General" sourceLinked="1"/>
        <c:majorTickMark val="none"/>
        <c:tickLblPos val="nextTo"/>
        <c:spPr>
          <a:ln w="9525">
            <a:noFill/>
          </a:ln>
        </c:spPr>
        <c:crossAx val="66171264"/>
        <c:crosses val="autoZero"/>
        <c:crossBetween val="between"/>
        <c:majorUnit val="500"/>
        <c:minorUnit val="200"/>
      </c:valAx>
      <c:spPr>
        <a:ln>
          <a:solidFill>
            <a:schemeClr val="tx1"/>
          </a:solidFill>
        </a:ln>
      </c:spPr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 Smith</dc:creator>
  <cp:lastModifiedBy>sjsmith</cp:lastModifiedBy>
  <cp:revision>4</cp:revision>
  <cp:lastPrinted>2010-09-01T02:02:00Z</cp:lastPrinted>
  <dcterms:created xsi:type="dcterms:W3CDTF">2010-09-01T14:01:00Z</dcterms:created>
  <dcterms:modified xsi:type="dcterms:W3CDTF">2010-09-01T14:18:00Z</dcterms:modified>
</cp:coreProperties>
</file>